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C5A9ED">
      <w:pPr>
        <w:snapToGrid w:val="0"/>
        <w:jc w:val="both"/>
        <w:rPr>
          <w:rFonts w:hint="eastAsia" w:ascii="仿宋" w:hAnsi="仿宋" w:eastAsia="仿宋" w:cs="仿宋"/>
          <w:b w:val="0"/>
          <w:bCs/>
          <w:color w:val="auto"/>
          <w:sz w:val="30"/>
          <w:szCs w:val="30"/>
          <w:lang w:val="en-US" w:eastAsia="zh-CN"/>
        </w:rPr>
      </w:pPr>
      <w:bookmarkStart w:id="2" w:name="_GoBack"/>
      <w:bookmarkEnd w:id="2"/>
      <w:r>
        <w:rPr>
          <w:rFonts w:hint="eastAsia" w:ascii="仿宋" w:hAnsi="仿宋" w:eastAsia="仿宋" w:cs="仿宋"/>
          <w:b w:val="0"/>
          <w:bCs/>
          <w:color w:val="auto"/>
          <w:sz w:val="30"/>
          <w:szCs w:val="30"/>
          <w:lang w:val="en-US" w:eastAsia="zh-CN"/>
        </w:rPr>
        <w:t>附件2</w:t>
      </w:r>
    </w:p>
    <w:p w14:paraId="0F644AC8">
      <w:pPr>
        <w:snapToGrid w:val="0"/>
        <w:jc w:val="center"/>
        <w:rPr>
          <w:rFonts w:hint="default" w:ascii="方正小标宋_GBK" w:hAnsi="黑体" w:eastAsia="方正小标宋_GBK"/>
          <w:b/>
          <w:color w:val="auto"/>
          <w:sz w:val="40"/>
          <w:szCs w:val="40"/>
          <w:lang w:val="en-US" w:eastAsia="zh-CN"/>
        </w:rPr>
      </w:pPr>
      <w:r>
        <w:rPr>
          <w:rFonts w:hint="eastAsia" w:ascii="方正小标宋_GBK" w:hAnsi="黑体" w:eastAsia="方正小标宋_GBK"/>
          <w:b/>
          <w:color w:val="auto"/>
          <w:sz w:val="40"/>
          <w:szCs w:val="40"/>
        </w:rPr>
        <w:t>上海市科学技术协会星级学会</w:t>
      </w:r>
      <w:r>
        <w:rPr>
          <w:rFonts w:hint="eastAsia" w:ascii="方正小标宋_GBK" w:hAnsi="黑体" w:eastAsia="方正小标宋_GBK"/>
          <w:b/>
          <w:color w:val="auto"/>
          <w:sz w:val="40"/>
          <w:szCs w:val="40"/>
          <w:lang w:val="en-US" w:eastAsia="zh-CN"/>
        </w:rPr>
        <w:t>评估标准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（2025版）</w:t>
      </w:r>
    </w:p>
    <w:p w14:paraId="28BEFA64">
      <w:pPr>
        <w:snapToGrid w:val="0"/>
        <w:spacing w:line="300" w:lineRule="auto"/>
        <w:jc w:val="center"/>
        <w:rPr>
          <w:rFonts w:ascii="楷体_GB2312" w:eastAsia="楷体_GB2312"/>
          <w:sz w:val="10"/>
          <w:szCs w:val="10"/>
        </w:rPr>
      </w:pPr>
    </w:p>
    <w:tbl>
      <w:tblPr>
        <w:tblStyle w:val="2"/>
        <w:tblW w:w="505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6"/>
        <w:gridCol w:w="931"/>
        <w:gridCol w:w="1129"/>
        <w:gridCol w:w="15436"/>
        <w:gridCol w:w="2018"/>
      </w:tblGrid>
      <w:tr w14:paraId="2329F6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367" w:type="pct"/>
            <w:vAlign w:val="center"/>
          </w:tcPr>
          <w:p w14:paraId="41989D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黑体" w:eastAsia="黑体"/>
                <w:b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hAnsi="黑体" w:eastAsia="黑体"/>
                <w:b/>
                <w:color w:val="auto"/>
                <w:kern w:val="0"/>
                <w:sz w:val="28"/>
                <w:szCs w:val="28"/>
              </w:rPr>
              <w:t>评估维度</w:t>
            </w:r>
          </w:p>
        </w:tc>
        <w:tc>
          <w:tcPr>
            <w:tcW w:w="4153" w:type="pct"/>
            <w:gridSpan w:val="3"/>
            <w:vAlign w:val="center"/>
          </w:tcPr>
          <w:p w14:paraId="16E8BD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黑体" w:eastAsia="黑体"/>
                <w:b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hAnsi="黑体" w:eastAsia="黑体"/>
                <w:b/>
                <w:color w:val="auto"/>
                <w:kern w:val="0"/>
                <w:sz w:val="28"/>
                <w:szCs w:val="28"/>
              </w:rPr>
              <w:t>评估标准及内容（评分点）</w:t>
            </w:r>
          </w:p>
        </w:tc>
        <w:tc>
          <w:tcPr>
            <w:tcW w:w="479" w:type="pct"/>
            <w:vAlign w:val="center"/>
          </w:tcPr>
          <w:p w14:paraId="79B1D6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黑体" w:eastAsia="黑体"/>
                <w:b/>
                <w:color w:val="auto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hAnsi="黑体" w:eastAsia="黑体"/>
                <w:b/>
                <w:color w:val="auto"/>
                <w:kern w:val="0"/>
                <w:sz w:val="28"/>
                <w:szCs w:val="28"/>
                <w:lang w:val="en-US" w:eastAsia="zh-CN"/>
              </w:rPr>
              <w:t>分值（</w:t>
            </w:r>
            <w:r>
              <w:rPr>
                <w:rFonts w:hint="eastAsia" w:hAnsi="黑体" w:eastAsia="黑体"/>
                <w:b/>
                <w:color w:val="auto"/>
                <w:kern w:val="0"/>
                <w:sz w:val="28"/>
                <w:szCs w:val="28"/>
              </w:rPr>
              <w:t>权重</w:t>
            </w:r>
            <w:r>
              <w:rPr>
                <w:rFonts w:hint="eastAsia" w:hAnsi="黑体" w:eastAsia="黑体"/>
                <w:b/>
                <w:color w:val="auto"/>
                <w:kern w:val="0"/>
                <w:sz w:val="28"/>
                <w:szCs w:val="28"/>
                <w:lang w:eastAsia="zh-CN"/>
              </w:rPr>
              <w:t>）</w:t>
            </w:r>
          </w:p>
        </w:tc>
      </w:tr>
      <w:tr w14:paraId="235087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5" w:hRule="atLeast"/>
        </w:trPr>
        <w:tc>
          <w:tcPr>
            <w:tcW w:w="367" w:type="pct"/>
            <w:vAlign w:val="center"/>
          </w:tcPr>
          <w:p w14:paraId="47DB59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color w:val="auto"/>
                <w:kern w:val="0"/>
                <w:sz w:val="28"/>
                <w:szCs w:val="28"/>
              </w:rPr>
              <w:t>党建</w:t>
            </w:r>
          </w:p>
          <w:p w14:paraId="1BE5C4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color w:val="auto"/>
                <w:kern w:val="0"/>
                <w:sz w:val="28"/>
                <w:szCs w:val="28"/>
              </w:rPr>
              <w:t>引领</w:t>
            </w:r>
          </w:p>
        </w:tc>
        <w:tc>
          <w:tcPr>
            <w:tcW w:w="4153" w:type="pct"/>
            <w:gridSpan w:val="3"/>
            <w:vAlign w:val="center"/>
          </w:tcPr>
          <w:p w14:paraId="58B778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color w:val="auto"/>
                <w:kern w:val="0"/>
                <w:sz w:val="28"/>
                <w:szCs w:val="28"/>
              </w:rPr>
              <w:t>以学会党组织建设、制度建设和党的政治引领程度作为评价标准，主要考察学会是否</w:t>
            </w:r>
            <w:r>
              <w:rPr>
                <w:rFonts w:eastAsia="仿宋_GB2312"/>
                <w:color w:val="auto"/>
                <w:kern w:val="0"/>
                <w:sz w:val="28"/>
                <w:szCs w:val="28"/>
              </w:rPr>
              <w:t>坚持党的领导与依法依章自主办会相统一，</w:t>
            </w:r>
            <w:r>
              <w:rPr>
                <w:rFonts w:hint="eastAsia" w:eastAsia="仿宋_GB2312"/>
                <w:color w:val="auto"/>
                <w:kern w:val="0"/>
                <w:sz w:val="28"/>
                <w:szCs w:val="28"/>
              </w:rPr>
              <w:t>是否在理事会建立党的工作领导小组并发挥政治核心作用，在办事机构建设党的基层组织并发挥战斗堡垒作用，</w:t>
            </w:r>
            <w:r>
              <w:rPr>
                <w:rFonts w:eastAsia="仿宋_GB2312"/>
                <w:color w:val="auto"/>
                <w:kern w:val="0"/>
                <w:sz w:val="28"/>
                <w:szCs w:val="28"/>
              </w:rPr>
              <w:t>强化意识形态建设</w:t>
            </w:r>
            <w:r>
              <w:rPr>
                <w:rFonts w:hint="eastAsia" w:eastAsia="仿宋_GB2312"/>
                <w:color w:val="auto"/>
                <w:kern w:val="0"/>
                <w:sz w:val="28"/>
                <w:szCs w:val="28"/>
              </w:rPr>
              <w:t>，守正创新开展党建工作、形成党建工作特色、促进党建与业务工作融合发展。</w:t>
            </w:r>
          </w:p>
        </w:tc>
        <w:tc>
          <w:tcPr>
            <w:tcW w:w="479" w:type="pct"/>
            <w:vAlign w:val="center"/>
          </w:tcPr>
          <w:p w14:paraId="11A4A9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color w:val="auto"/>
                <w:kern w:val="0"/>
                <w:sz w:val="28"/>
                <w:szCs w:val="28"/>
              </w:rPr>
              <w:t>按0.9-1.1在</w:t>
            </w:r>
            <w:r>
              <w:rPr>
                <w:rFonts w:hint="eastAsia" w:eastAsia="仿宋_GB2312"/>
                <w:color w:val="auto"/>
                <w:kern w:val="0"/>
                <w:sz w:val="28"/>
                <w:szCs w:val="28"/>
                <w:lang w:val="en-US" w:eastAsia="zh-CN"/>
              </w:rPr>
              <w:t>基础分</w:t>
            </w:r>
            <w:r>
              <w:rPr>
                <w:rFonts w:hint="eastAsia" w:eastAsia="仿宋_GB2312"/>
                <w:color w:val="auto"/>
                <w:kern w:val="0"/>
                <w:sz w:val="28"/>
                <w:szCs w:val="28"/>
              </w:rPr>
              <w:t>（100分）上加权。</w:t>
            </w:r>
          </w:p>
        </w:tc>
      </w:tr>
      <w:tr w14:paraId="57898E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1" w:hRule="atLeast"/>
        </w:trPr>
        <w:tc>
          <w:tcPr>
            <w:tcW w:w="367" w:type="pct"/>
            <w:vAlign w:val="center"/>
          </w:tcPr>
          <w:p w14:paraId="2AA7A6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color w:val="auto"/>
                <w:kern w:val="0"/>
                <w:sz w:val="28"/>
                <w:szCs w:val="28"/>
              </w:rPr>
              <w:t>内部</w:t>
            </w:r>
          </w:p>
          <w:p w14:paraId="637250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color w:val="auto"/>
                <w:kern w:val="0"/>
                <w:sz w:val="28"/>
                <w:szCs w:val="28"/>
              </w:rPr>
              <w:t>治理</w:t>
            </w:r>
          </w:p>
        </w:tc>
        <w:tc>
          <w:tcPr>
            <w:tcW w:w="4153" w:type="pct"/>
            <w:gridSpan w:val="3"/>
            <w:vAlign w:val="center"/>
          </w:tcPr>
          <w:p w14:paraId="337764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color w:val="auto"/>
                <w:kern w:val="0"/>
                <w:sz w:val="28"/>
                <w:szCs w:val="28"/>
              </w:rPr>
              <w:t>以学会组织建设、民主办会、会员、财务、人事、档案等各方面管理制度的完善及落实程度作为评价标准，主要但不限于以下内容：章程中明确设立理事会党的工作小组，依据章程定期召开理事会、监事会、会员（代表）大会等落实民主办会要求；建立科学合规的财务资产管理制度并实现资产保值增值；建立完善的组织架构以及会员、人事、档案等内部管理制度；持续推动</w:t>
            </w:r>
            <w:r>
              <w:rPr>
                <w:rFonts w:eastAsia="仿宋_GB2312"/>
                <w:color w:val="auto"/>
                <w:kern w:val="0"/>
                <w:sz w:val="28"/>
                <w:szCs w:val="28"/>
              </w:rPr>
              <w:t>从业人员职业化建设，推进秘书长</w:t>
            </w:r>
            <w:r>
              <w:rPr>
                <w:rFonts w:hint="eastAsia" w:eastAsia="仿宋_GB2312"/>
                <w:color w:val="auto"/>
                <w:kern w:val="0"/>
                <w:sz w:val="28"/>
                <w:szCs w:val="28"/>
              </w:rPr>
              <w:t>及秘书处工作人员</w:t>
            </w:r>
            <w:r>
              <w:rPr>
                <w:rFonts w:eastAsia="仿宋_GB2312"/>
                <w:color w:val="auto"/>
                <w:kern w:val="0"/>
                <w:sz w:val="28"/>
                <w:szCs w:val="28"/>
              </w:rPr>
              <w:t>全职化履职和专职化聘任</w:t>
            </w:r>
            <w:r>
              <w:rPr>
                <w:rFonts w:hint="eastAsia" w:eastAsia="仿宋_GB2312"/>
                <w:color w:val="auto"/>
                <w:kern w:val="0"/>
                <w:sz w:val="28"/>
                <w:szCs w:val="28"/>
              </w:rPr>
              <w:t>；加强信息化、数字化载体和能力建设。</w:t>
            </w:r>
          </w:p>
        </w:tc>
        <w:tc>
          <w:tcPr>
            <w:tcW w:w="479" w:type="pct"/>
            <w:vAlign w:val="center"/>
          </w:tcPr>
          <w:p w14:paraId="0654ED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color w:val="auto"/>
                <w:kern w:val="0"/>
                <w:sz w:val="28"/>
                <w:szCs w:val="28"/>
              </w:rPr>
              <w:t>3</w:t>
            </w:r>
            <w:r>
              <w:rPr>
                <w:rFonts w:eastAsia="仿宋_GB2312"/>
                <w:color w:val="auto"/>
                <w:kern w:val="0"/>
                <w:sz w:val="28"/>
                <w:szCs w:val="28"/>
              </w:rPr>
              <w:t>0</w:t>
            </w:r>
          </w:p>
        </w:tc>
      </w:tr>
      <w:tr w14:paraId="2DDFFC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7" w:type="pct"/>
            <w:vMerge w:val="restart"/>
            <w:vAlign w:val="center"/>
          </w:tcPr>
          <w:p w14:paraId="317B9C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color w:val="auto"/>
                <w:kern w:val="0"/>
                <w:sz w:val="28"/>
                <w:szCs w:val="28"/>
              </w:rPr>
              <w:t>同业</w:t>
            </w:r>
          </w:p>
          <w:p w14:paraId="533B3C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color w:val="auto"/>
                <w:kern w:val="0"/>
                <w:sz w:val="28"/>
                <w:szCs w:val="28"/>
              </w:rPr>
              <w:t>服务</w:t>
            </w:r>
          </w:p>
        </w:tc>
        <w:tc>
          <w:tcPr>
            <w:tcW w:w="221" w:type="pct"/>
            <w:vMerge w:val="restart"/>
            <w:vAlign w:val="center"/>
          </w:tcPr>
          <w:p w14:paraId="04F9AA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color w:val="auto"/>
                <w:kern w:val="0"/>
                <w:sz w:val="28"/>
                <w:szCs w:val="28"/>
              </w:rPr>
              <w:t>个性</w:t>
            </w:r>
          </w:p>
          <w:p w14:paraId="227DDE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color w:val="auto"/>
                <w:kern w:val="0"/>
                <w:sz w:val="28"/>
                <w:szCs w:val="28"/>
              </w:rPr>
              <w:t>指标</w:t>
            </w:r>
          </w:p>
        </w:tc>
        <w:tc>
          <w:tcPr>
            <w:tcW w:w="268" w:type="pct"/>
            <w:vAlign w:val="center"/>
          </w:tcPr>
          <w:p w14:paraId="025B75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color w:val="auto"/>
                <w:kern w:val="0"/>
                <w:sz w:val="28"/>
                <w:szCs w:val="28"/>
              </w:rPr>
              <w:t>基础</w:t>
            </w:r>
          </w:p>
          <w:p w14:paraId="471E2B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color w:val="auto"/>
                <w:kern w:val="0"/>
                <w:sz w:val="28"/>
                <w:szCs w:val="28"/>
              </w:rPr>
              <w:t>学术</w:t>
            </w:r>
          </w:p>
          <w:p w14:paraId="6B7E23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color w:val="auto"/>
                <w:kern w:val="0"/>
                <w:sz w:val="28"/>
                <w:szCs w:val="28"/>
              </w:rPr>
              <w:t>类</w:t>
            </w:r>
          </w:p>
        </w:tc>
        <w:tc>
          <w:tcPr>
            <w:tcW w:w="3663" w:type="pct"/>
            <w:vAlign w:val="center"/>
          </w:tcPr>
          <w:p w14:paraId="611CB9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color w:val="auto"/>
                <w:kern w:val="0"/>
                <w:sz w:val="28"/>
                <w:szCs w:val="28"/>
              </w:rPr>
              <w:t>以推动学会学术引领力和学科建设的成效为评价标准，包括但不限于：开展学术交流活动的层次、质量和频次；学术活动品牌培育和建设情况；开展学科研究、学术规划等推动本学科建设的工作情况及成效。</w:t>
            </w:r>
          </w:p>
        </w:tc>
        <w:tc>
          <w:tcPr>
            <w:tcW w:w="479" w:type="pct"/>
            <w:vMerge w:val="restart"/>
            <w:vAlign w:val="center"/>
          </w:tcPr>
          <w:p w14:paraId="1D33E4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eastAsia="仿宋_GB2312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/>
                <w:color w:val="auto"/>
                <w:kern w:val="0"/>
                <w:sz w:val="28"/>
                <w:szCs w:val="28"/>
                <w:lang w:val="en-US" w:eastAsia="zh-CN"/>
              </w:rPr>
              <w:t>20</w:t>
            </w:r>
          </w:p>
        </w:tc>
      </w:tr>
      <w:tr w14:paraId="128CE9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1" w:hRule="atLeast"/>
        </w:trPr>
        <w:tc>
          <w:tcPr>
            <w:tcW w:w="367" w:type="pct"/>
            <w:vMerge w:val="continue"/>
            <w:vAlign w:val="center"/>
          </w:tcPr>
          <w:p w14:paraId="04E59D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221" w:type="pct"/>
            <w:vMerge w:val="continue"/>
            <w:vAlign w:val="center"/>
          </w:tcPr>
          <w:p w14:paraId="77D069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268" w:type="pct"/>
            <w:vAlign w:val="center"/>
          </w:tcPr>
          <w:p w14:paraId="70722C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color w:val="auto"/>
                <w:kern w:val="0"/>
                <w:sz w:val="28"/>
                <w:szCs w:val="28"/>
              </w:rPr>
              <w:t>应用</w:t>
            </w:r>
          </w:p>
          <w:p w14:paraId="38E17F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color w:val="auto"/>
                <w:kern w:val="0"/>
                <w:sz w:val="28"/>
                <w:szCs w:val="28"/>
              </w:rPr>
              <w:t>技术</w:t>
            </w:r>
          </w:p>
          <w:p w14:paraId="3DD837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color w:val="auto"/>
                <w:kern w:val="0"/>
                <w:sz w:val="28"/>
                <w:szCs w:val="28"/>
              </w:rPr>
              <w:t>类</w:t>
            </w:r>
          </w:p>
        </w:tc>
        <w:tc>
          <w:tcPr>
            <w:tcW w:w="3663" w:type="pct"/>
            <w:vAlign w:val="center"/>
          </w:tcPr>
          <w:p w14:paraId="2ACBF5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color w:val="auto"/>
                <w:kern w:val="0"/>
                <w:sz w:val="28"/>
                <w:szCs w:val="28"/>
              </w:rPr>
              <w:t>以推动技术应用和技术服务为评价标准，包括但不限于：举办技术创新交流活动的数量及质量水平；开展科技成果转化、技术转移等科技中介服务的效果及影响；开展科技评价、技术标准制定、技术咨询、技术路线图编制等技术服务的成效。</w:t>
            </w:r>
          </w:p>
        </w:tc>
        <w:tc>
          <w:tcPr>
            <w:tcW w:w="479" w:type="pct"/>
            <w:vMerge w:val="continue"/>
            <w:vAlign w:val="center"/>
          </w:tcPr>
          <w:p w14:paraId="6DA38C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</w:tr>
      <w:tr w14:paraId="25458E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7" w:type="pct"/>
            <w:vMerge w:val="continue"/>
            <w:vAlign w:val="center"/>
          </w:tcPr>
          <w:p w14:paraId="42F322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221" w:type="pct"/>
            <w:vMerge w:val="continue"/>
            <w:vAlign w:val="center"/>
          </w:tcPr>
          <w:p w14:paraId="049113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268" w:type="pct"/>
            <w:vAlign w:val="center"/>
          </w:tcPr>
          <w:p w14:paraId="3B941D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color w:val="auto"/>
                <w:kern w:val="0"/>
                <w:sz w:val="28"/>
                <w:szCs w:val="28"/>
              </w:rPr>
              <w:t>科技</w:t>
            </w:r>
          </w:p>
          <w:p w14:paraId="10E3DE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color w:val="auto"/>
                <w:kern w:val="0"/>
                <w:sz w:val="28"/>
                <w:szCs w:val="28"/>
              </w:rPr>
              <w:t>群体</w:t>
            </w:r>
          </w:p>
          <w:p w14:paraId="10E814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color w:val="auto"/>
                <w:kern w:val="0"/>
                <w:sz w:val="28"/>
                <w:szCs w:val="28"/>
              </w:rPr>
              <w:t>类</w:t>
            </w:r>
          </w:p>
        </w:tc>
        <w:tc>
          <w:tcPr>
            <w:tcW w:w="3663" w:type="pct"/>
            <w:vAlign w:val="center"/>
          </w:tcPr>
          <w:p w14:paraId="3273CA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color w:val="auto"/>
                <w:kern w:val="0"/>
                <w:sz w:val="28"/>
                <w:szCs w:val="28"/>
              </w:rPr>
              <w:t>以学会组织的“黏性”及其对本专业领域科技工作者的凝聚度为评价标准，包括但不限于：举办同行交流活动的频次及质量；对本领域机构和人员的集聚吸纳程度；同行交流品牌活动、机制性载体平台建设情况。</w:t>
            </w:r>
          </w:p>
        </w:tc>
        <w:tc>
          <w:tcPr>
            <w:tcW w:w="479" w:type="pct"/>
            <w:vMerge w:val="continue"/>
            <w:vAlign w:val="center"/>
          </w:tcPr>
          <w:p w14:paraId="1F1E27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</w:tr>
      <w:tr w14:paraId="636DC5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9" w:hRule="atLeast"/>
        </w:trPr>
        <w:tc>
          <w:tcPr>
            <w:tcW w:w="367" w:type="pct"/>
            <w:vMerge w:val="continue"/>
            <w:vAlign w:val="center"/>
          </w:tcPr>
          <w:p w14:paraId="787D6C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221" w:type="pct"/>
            <w:vAlign w:val="center"/>
          </w:tcPr>
          <w:p w14:paraId="7461B7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color w:val="auto"/>
                <w:kern w:val="0"/>
                <w:sz w:val="28"/>
                <w:szCs w:val="28"/>
              </w:rPr>
              <w:t>共性</w:t>
            </w:r>
          </w:p>
          <w:p w14:paraId="7EBE75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color w:val="auto"/>
                <w:kern w:val="0"/>
                <w:sz w:val="28"/>
                <w:szCs w:val="28"/>
              </w:rPr>
              <w:t>指标</w:t>
            </w:r>
          </w:p>
        </w:tc>
        <w:tc>
          <w:tcPr>
            <w:tcW w:w="3931" w:type="pct"/>
            <w:gridSpan w:val="2"/>
            <w:vAlign w:val="center"/>
          </w:tcPr>
          <w:p w14:paraId="6BB7FF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color w:val="auto"/>
                <w:kern w:val="0"/>
                <w:sz w:val="28"/>
                <w:szCs w:val="28"/>
              </w:rPr>
              <w:t>以学会为所在</w:t>
            </w:r>
            <w:bookmarkStart w:id="0" w:name="OLE_LINK2"/>
            <w:bookmarkStart w:id="1" w:name="OLE_LINK1"/>
            <w:r>
              <w:rPr>
                <w:rFonts w:hint="eastAsia" w:eastAsia="仿宋_GB2312"/>
                <w:color w:val="auto"/>
                <w:kern w:val="0"/>
                <w:sz w:val="28"/>
                <w:szCs w:val="28"/>
              </w:rPr>
              <w:t>学科、专业或行业领域提供各类服务及其效果作为评价标准，</w:t>
            </w:r>
            <w:bookmarkEnd w:id="0"/>
            <w:bookmarkEnd w:id="1"/>
            <w:r>
              <w:rPr>
                <w:rFonts w:hint="eastAsia" w:eastAsia="仿宋_GB2312"/>
                <w:color w:val="auto"/>
                <w:kern w:val="0"/>
                <w:sz w:val="28"/>
                <w:szCs w:val="28"/>
              </w:rPr>
              <w:t>包括但不限于：科技工作者培养特别是青年科技工作者的培养情况，科技人才举荐、宣传和激励等服务机制建设及实施情况；国际与港澳台科技人文交流情况、吸纳外籍和港澳台籍会员情况和推动会员在国际组织任职情况；科技期刊建设情况；加强学风和科研诚信建设等。</w:t>
            </w:r>
          </w:p>
        </w:tc>
        <w:tc>
          <w:tcPr>
            <w:tcW w:w="479" w:type="pct"/>
            <w:vAlign w:val="center"/>
          </w:tcPr>
          <w:p w14:paraId="0CBF4C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color w:val="auto"/>
                <w:kern w:val="0"/>
                <w:sz w:val="28"/>
                <w:szCs w:val="28"/>
              </w:rPr>
              <w:t>20</w:t>
            </w:r>
          </w:p>
        </w:tc>
      </w:tr>
      <w:tr w14:paraId="4967F3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7" w:type="pct"/>
            <w:vAlign w:val="center"/>
          </w:tcPr>
          <w:p w14:paraId="149FCE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color w:val="auto"/>
                <w:kern w:val="0"/>
                <w:sz w:val="28"/>
                <w:szCs w:val="28"/>
              </w:rPr>
              <w:t>社会</w:t>
            </w:r>
          </w:p>
          <w:p w14:paraId="053D7F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color w:val="auto"/>
                <w:kern w:val="0"/>
                <w:sz w:val="28"/>
                <w:szCs w:val="28"/>
              </w:rPr>
              <w:t>影响</w:t>
            </w:r>
          </w:p>
        </w:tc>
        <w:tc>
          <w:tcPr>
            <w:tcW w:w="4153" w:type="pct"/>
            <w:gridSpan w:val="3"/>
            <w:vAlign w:val="center"/>
          </w:tcPr>
          <w:p w14:paraId="235B16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color w:val="auto"/>
                <w:kern w:val="0"/>
                <w:sz w:val="28"/>
                <w:szCs w:val="28"/>
              </w:rPr>
              <w:t>以学会通过专业科技服务、科普、决策咨询等工作为社会提供服务的能力、质量和效益为评价标准，包括但不限于：通过专业科技服务赋能国家和区域发展,</w:t>
            </w:r>
            <w:r>
              <w:rPr>
                <w:rFonts w:hint="eastAsia"/>
                <w:color w:val="auto"/>
                <w:sz w:val="28"/>
                <w:szCs w:val="28"/>
              </w:rPr>
              <w:t xml:space="preserve"> </w:t>
            </w:r>
            <w:r>
              <w:rPr>
                <w:rFonts w:hint="eastAsia" w:eastAsia="仿宋_GB2312"/>
                <w:color w:val="auto"/>
                <w:kern w:val="0"/>
                <w:sz w:val="28"/>
                <w:szCs w:val="28"/>
              </w:rPr>
              <w:t>开展“产学研”取得明显经济社会效益；助力国际国内科技合作、长三角一体化、乡村振兴等方。</w:t>
            </w:r>
          </w:p>
        </w:tc>
        <w:tc>
          <w:tcPr>
            <w:tcW w:w="479" w:type="pct"/>
            <w:vAlign w:val="center"/>
          </w:tcPr>
          <w:p w14:paraId="7872BC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color w:val="auto"/>
                <w:kern w:val="0"/>
                <w:sz w:val="28"/>
                <w:szCs w:val="28"/>
              </w:rPr>
              <w:t>30</w:t>
            </w:r>
          </w:p>
        </w:tc>
      </w:tr>
      <w:tr w14:paraId="0BF0BF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7" w:type="pct"/>
            <w:vAlign w:val="center"/>
          </w:tcPr>
          <w:p w14:paraId="2BBD89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color w:val="auto"/>
                <w:kern w:val="0"/>
                <w:sz w:val="28"/>
                <w:szCs w:val="28"/>
              </w:rPr>
              <w:t>特色</w:t>
            </w:r>
          </w:p>
          <w:p w14:paraId="4917EF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color w:val="auto"/>
                <w:kern w:val="0"/>
                <w:sz w:val="28"/>
                <w:szCs w:val="28"/>
              </w:rPr>
              <w:t>工作</w:t>
            </w:r>
          </w:p>
          <w:p w14:paraId="33E963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eastAsia="仿宋_GB2312"/>
                <w:color w:val="auto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eastAsia="仿宋_GB2312"/>
                <w:color w:val="auto"/>
                <w:kern w:val="0"/>
                <w:sz w:val="28"/>
                <w:szCs w:val="28"/>
                <w:lang w:eastAsia="zh-CN"/>
              </w:rPr>
              <w:t>（</w:t>
            </w:r>
            <w:r>
              <w:rPr>
                <w:rFonts w:hint="eastAsia" w:eastAsia="仿宋_GB2312"/>
                <w:color w:val="auto"/>
                <w:kern w:val="0"/>
                <w:sz w:val="28"/>
                <w:szCs w:val="28"/>
                <w:lang w:val="en-US" w:eastAsia="zh-CN"/>
              </w:rPr>
              <w:t>附加分</w:t>
            </w:r>
            <w:r>
              <w:rPr>
                <w:rFonts w:hint="eastAsia" w:eastAsia="仿宋_GB2312"/>
                <w:color w:val="auto"/>
                <w:kern w:val="0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4153" w:type="pct"/>
            <w:gridSpan w:val="3"/>
            <w:vAlign w:val="center"/>
          </w:tcPr>
          <w:p w14:paraId="1BA9C1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color w:val="auto"/>
                <w:kern w:val="0"/>
                <w:sz w:val="28"/>
                <w:szCs w:val="28"/>
              </w:rPr>
              <w:t>学会开展的创新性、探索性工作及其品牌效应、示范效果。</w:t>
            </w:r>
          </w:p>
        </w:tc>
        <w:tc>
          <w:tcPr>
            <w:tcW w:w="479" w:type="pct"/>
            <w:vAlign w:val="center"/>
          </w:tcPr>
          <w:p w14:paraId="5A60C5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color w:val="auto"/>
                <w:kern w:val="0"/>
                <w:sz w:val="28"/>
                <w:szCs w:val="28"/>
              </w:rPr>
              <w:t>10</w:t>
            </w:r>
          </w:p>
        </w:tc>
      </w:tr>
    </w:tbl>
    <w:p w14:paraId="78C0BA4F">
      <w:pPr>
        <w:snapToGrid w:val="0"/>
        <w:spacing w:line="400" w:lineRule="exact"/>
        <w:rPr>
          <w:rFonts w:hint="eastAsia" w:ascii="仿宋" w:hAnsi="仿宋" w:eastAsia="仿宋" w:cs="仿宋"/>
          <w:b/>
          <w:bCs/>
          <w:color w:val="auto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color w:val="auto"/>
          <w:sz w:val="30"/>
          <w:szCs w:val="30"/>
        </w:rPr>
        <w:t>备注：</w:t>
      </w:r>
    </w:p>
    <w:p w14:paraId="0D4721B8"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360" w:lineRule="auto"/>
        <w:ind w:firstLine="600" w:firstLineChars="200"/>
        <w:textAlignment w:val="auto"/>
        <w:rPr>
          <w:rFonts w:hint="eastAsia" w:ascii="仿宋" w:hAnsi="仿宋" w:eastAsia="仿宋" w:cs="仿宋"/>
          <w:kern w:val="2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kern w:val="2"/>
          <w:sz w:val="30"/>
          <w:szCs w:val="30"/>
          <w:lang w:val="en-US" w:eastAsia="zh-CN"/>
        </w:rPr>
        <w:t>1、学会存在</w:t>
      </w:r>
      <w:r>
        <w:rPr>
          <w:rFonts w:hint="eastAsia" w:ascii="仿宋" w:hAnsi="仿宋" w:eastAsia="仿宋" w:cs="仿宋"/>
          <w:b/>
          <w:bCs/>
          <w:kern w:val="2"/>
          <w:sz w:val="30"/>
          <w:szCs w:val="30"/>
        </w:rPr>
        <w:t>下列情形之一的，不建议参评：</w:t>
      </w:r>
      <w:r>
        <w:rPr>
          <w:rFonts w:hint="eastAsia" w:ascii="仿宋" w:hAnsi="仿宋" w:eastAsia="仿宋" w:cs="仿宋"/>
          <w:kern w:val="2"/>
          <w:sz w:val="30"/>
          <w:szCs w:val="30"/>
        </w:rPr>
        <w:t>1、参评前两年年检不合格或基本合格；2、发生重大事件造成不良影响或严重后果；3、其他不适合参加星级学会评估的情形。</w:t>
      </w:r>
    </w:p>
    <w:p w14:paraId="0349D293">
      <w:pPr>
        <w:snapToGrid w:val="0"/>
        <w:spacing w:line="400" w:lineRule="exact"/>
        <w:ind w:firstLine="600" w:firstLineChars="200"/>
        <w:rPr>
          <w:rFonts w:hint="eastAsia" w:ascii="仿宋" w:hAnsi="仿宋" w:eastAsia="仿宋" w:cs="仿宋"/>
          <w:b/>
          <w:bCs/>
          <w:color w:val="auto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lang w:val="en-US" w:eastAsia="zh-CN"/>
        </w:rPr>
        <w:t>2、</w:t>
      </w:r>
      <w:r>
        <w:rPr>
          <w:rFonts w:hint="eastAsia" w:ascii="仿宋" w:hAnsi="仿宋" w:eastAsia="仿宋" w:cs="仿宋"/>
          <w:b/>
          <w:bCs/>
          <w:color w:val="auto"/>
          <w:sz w:val="30"/>
          <w:szCs w:val="30"/>
        </w:rPr>
        <w:t>总分计算公式：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（内部治理得分+同业服务得分+社会影响得分）×党建加权系数+特色工作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得分</w:t>
      </w:r>
    </w:p>
    <w:sectPr>
      <w:pgSz w:w="23811" w:h="16838" w:orient="landscape"/>
      <w:pgMar w:top="1361" w:right="1588" w:bottom="1304" w:left="1588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1CB6"/>
    <w:rsid w:val="00020C05"/>
    <w:rsid w:val="00027FA1"/>
    <w:rsid w:val="000335E3"/>
    <w:rsid w:val="000405FB"/>
    <w:rsid w:val="0004442A"/>
    <w:rsid w:val="000C2156"/>
    <w:rsid w:val="000C7896"/>
    <w:rsid w:val="000E2656"/>
    <w:rsid w:val="000F1D4A"/>
    <w:rsid w:val="000F586A"/>
    <w:rsid w:val="00101C80"/>
    <w:rsid w:val="001051C8"/>
    <w:rsid w:val="001070D6"/>
    <w:rsid w:val="001109EA"/>
    <w:rsid w:val="001225D5"/>
    <w:rsid w:val="001553D1"/>
    <w:rsid w:val="001710A2"/>
    <w:rsid w:val="00175330"/>
    <w:rsid w:val="0018013F"/>
    <w:rsid w:val="00183531"/>
    <w:rsid w:val="00202922"/>
    <w:rsid w:val="00235622"/>
    <w:rsid w:val="00236708"/>
    <w:rsid w:val="00242F49"/>
    <w:rsid w:val="002717A0"/>
    <w:rsid w:val="0028478C"/>
    <w:rsid w:val="00287685"/>
    <w:rsid w:val="002934F5"/>
    <w:rsid w:val="0029684B"/>
    <w:rsid w:val="002C0815"/>
    <w:rsid w:val="002D35AC"/>
    <w:rsid w:val="00345134"/>
    <w:rsid w:val="00361CB6"/>
    <w:rsid w:val="00362733"/>
    <w:rsid w:val="00365C0D"/>
    <w:rsid w:val="003A6D7A"/>
    <w:rsid w:val="003D07F5"/>
    <w:rsid w:val="003D7629"/>
    <w:rsid w:val="003E0B99"/>
    <w:rsid w:val="003E5451"/>
    <w:rsid w:val="00400306"/>
    <w:rsid w:val="00404219"/>
    <w:rsid w:val="0040503D"/>
    <w:rsid w:val="004110FC"/>
    <w:rsid w:val="00422E53"/>
    <w:rsid w:val="00424746"/>
    <w:rsid w:val="00424B52"/>
    <w:rsid w:val="00442FB5"/>
    <w:rsid w:val="00464C74"/>
    <w:rsid w:val="0047642D"/>
    <w:rsid w:val="004A71BA"/>
    <w:rsid w:val="004F6351"/>
    <w:rsid w:val="00505F65"/>
    <w:rsid w:val="00550B80"/>
    <w:rsid w:val="00581409"/>
    <w:rsid w:val="005B2A8E"/>
    <w:rsid w:val="005B65CD"/>
    <w:rsid w:val="005C4DEB"/>
    <w:rsid w:val="005D203C"/>
    <w:rsid w:val="005E4BDA"/>
    <w:rsid w:val="00616967"/>
    <w:rsid w:val="00623C7F"/>
    <w:rsid w:val="00645781"/>
    <w:rsid w:val="00652DB2"/>
    <w:rsid w:val="00684D77"/>
    <w:rsid w:val="006B0EB4"/>
    <w:rsid w:val="006B1F4F"/>
    <w:rsid w:val="006F20EE"/>
    <w:rsid w:val="006F578B"/>
    <w:rsid w:val="00701AD5"/>
    <w:rsid w:val="0070605F"/>
    <w:rsid w:val="00706BF9"/>
    <w:rsid w:val="007120D5"/>
    <w:rsid w:val="007158E3"/>
    <w:rsid w:val="00716431"/>
    <w:rsid w:val="0073426C"/>
    <w:rsid w:val="00736C2B"/>
    <w:rsid w:val="00772328"/>
    <w:rsid w:val="007A2750"/>
    <w:rsid w:val="007C55C2"/>
    <w:rsid w:val="007E152B"/>
    <w:rsid w:val="00813EFF"/>
    <w:rsid w:val="00831056"/>
    <w:rsid w:val="00852690"/>
    <w:rsid w:val="008766CE"/>
    <w:rsid w:val="00881881"/>
    <w:rsid w:val="00885304"/>
    <w:rsid w:val="008B5635"/>
    <w:rsid w:val="008C6902"/>
    <w:rsid w:val="008C75D3"/>
    <w:rsid w:val="008D4F40"/>
    <w:rsid w:val="008E3E9D"/>
    <w:rsid w:val="008F3F0F"/>
    <w:rsid w:val="0091543D"/>
    <w:rsid w:val="00961C32"/>
    <w:rsid w:val="00985AEC"/>
    <w:rsid w:val="009B1C2E"/>
    <w:rsid w:val="009B264E"/>
    <w:rsid w:val="009C1052"/>
    <w:rsid w:val="009E5083"/>
    <w:rsid w:val="009F01CA"/>
    <w:rsid w:val="009F47A6"/>
    <w:rsid w:val="00A01A44"/>
    <w:rsid w:val="00A07279"/>
    <w:rsid w:val="00A24F86"/>
    <w:rsid w:val="00A471BE"/>
    <w:rsid w:val="00A8262B"/>
    <w:rsid w:val="00A943CE"/>
    <w:rsid w:val="00AA4A5B"/>
    <w:rsid w:val="00AC6F1C"/>
    <w:rsid w:val="00AF2002"/>
    <w:rsid w:val="00AF737B"/>
    <w:rsid w:val="00B400FC"/>
    <w:rsid w:val="00B82017"/>
    <w:rsid w:val="00BE098A"/>
    <w:rsid w:val="00BE4A6F"/>
    <w:rsid w:val="00BF7D73"/>
    <w:rsid w:val="00C01413"/>
    <w:rsid w:val="00C07A75"/>
    <w:rsid w:val="00C308AA"/>
    <w:rsid w:val="00C3468D"/>
    <w:rsid w:val="00C70118"/>
    <w:rsid w:val="00C77E26"/>
    <w:rsid w:val="00CB0301"/>
    <w:rsid w:val="00CE4E96"/>
    <w:rsid w:val="00CE6BD9"/>
    <w:rsid w:val="00CE6CC5"/>
    <w:rsid w:val="00D01483"/>
    <w:rsid w:val="00D033AE"/>
    <w:rsid w:val="00D17266"/>
    <w:rsid w:val="00D77336"/>
    <w:rsid w:val="00D8131A"/>
    <w:rsid w:val="00D9566A"/>
    <w:rsid w:val="00DF54D9"/>
    <w:rsid w:val="00E00580"/>
    <w:rsid w:val="00E52DF9"/>
    <w:rsid w:val="00E55CB7"/>
    <w:rsid w:val="00E6050A"/>
    <w:rsid w:val="00E64607"/>
    <w:rsid w:val="00EA434D"/>
    <w:rsid w:val="00ED6997"/>
    <w:rsid w:val="00EE39AE"/>
    <w:rsid w:val="00EE3BDD"/>
    <w:rsid w:val="00F232A4"/>
    <w:rsid w:val="00F23876"/>
    <w:rsid w:val="00F32A15"/>
    <w:rsid w:val="00F95830"/>
    <w:rsid w:val="00FA540D"/>
    <w:rsid w:val="00FC2903"/>
    <w:rsid w:val="00FC3B25"/>
    <w:rsid w:val="00FE33F6"/>
    <w:rsid w:val="00FF7340"/>
    <w:rsid w:val="052A53FB"/>
    <w:rsid w:val="07015E00"/>
    <w:rsid w:val="07A04E1B"/>
    <w:rsid w:val="0F5F0886"/>
    <w:rsid w:val="163E2769"/>
    <w:rsid w:val="21C9208E"/>
    <w:rsid w:val="2A2878AC"/>
    <w:rsid w:val="2A61382E"/>
    <w:rsid w:val="2C835217"/>
    <w:rsid w:val="341C1B03"/>
    <w:rsid w:val="3D8A5D00"/>
    <w:rsid w:val="3E2517A5"/>
    <w:rsid w:val="44070E71"/>
    <w:rsid w:val="45C85B17"/>
    <w:rsid w:val="4B9B0B73"/>
    <w:rsid w:val="4BE75495"/>
    <w:rsid w:val="4DAB2490"/>
    <w:rsid w:val="54857525"/>
    <w:rsid w:val="57AE07B3"/>
    <w:rsid w:val="5D583245"/>
    <w:rsid w:val="5F1E59D7"/>
    <w:rsid w:val="71BC3A02"/>
    <w:rsid w:val="797704B0"/>
    <w:rsid w:val="7C817D22"/>
    <w:rsid w:val="7EC065CA"/>
    <w:rsid w:val="7F8B2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color w:val="FF0000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unhideWhenUsed/>
    <w:qFormat/>
    <w:uiPriority w:val="99"/>
    <w:rPr>
      <w:color w:val="0563C1"/>
      <w:u w:val="single"/>
    </w:rPr>
  </w:style>
  <w:style w:type="paragraph" w:customStyle="1" w:styleId="5">
    <w:name w:val="标题 11"/>
    <w:qFormat/>
    <w:uiPriority w:val="0"/>
    <w:pPr>
      <w:spacing w:before="380" w:after="140" w:line="288" w:lineRule="auto"/>
      <w:outlineLvl w:val="0"/>
    </w:pPr>
    <w:rPr>
      <w:rFonts w:ascii="Arial" w:hAnsi="Arial" w:eastAsia="等线" w:cs="Arial"/>
      <w:b/>
      <w:bCs/>
      <w:sz w:val="36"/>
      <w:szCs w:val="36"/>
      <w:lang w:val="en-US" w:eastAsia="zh-CN" w:bidi="ar-SA"/>
    </w:rPr>
  </w:style>
  <w:style w:type="paragraph" w:customStyle="1" w:styleId="6">
    <w:name w:val="标题 21"/>
    <w:qFormat/>
    <w:uiPriority w:val="0"/>
    <w:pPr>
      <w:spacing w:before="320" w:after="120" w:line="288" w:lineRule="auto"/>
      <w:outlineLvl w:val="1"/>
    </w:pPr>
    <w:rPr>
      <w:rFonts w:ascii="Arial" w:hAnsi="Arial" w:eastAsia="等线" w:cs="Arial"/>
      <w:b/>
      <w:bCs/>
      <w:sz w:val="32"/>
      <w:szCs w:val="32"/>
      <w:lang w:val="en-US" w:eastAsia="zh-CN" w:bidi="ar-SA"/>
    </w:rPr>
  </w:style>
  <w:style w:type="paragraph" w:customStyle="1" w:styleId="7">
    <w:name w:val="标题 31"/>
    <w:qFormat/>
    <w:uiPriority w:val="0"/>
    <w:pPr>
      <w:spacing w:before="300" w:after="120" w:line="288" w:lineRule="auto"/>
      <w:outlineLvl w:val="2"/>
    </w:pPr>
    <w:rPr>
      <w:rFonts w:ascii="Arial" w:hAnsi="Arial" w:eastAsia="等线" w:cs="Arial"/>
      <w:b/>
      <w:bCs/>
      <w:sz w:val="30"/>
      <w:szCs w:val="30"/>
      <w:lang w:val="en-US" w:eastAsia="zh-CN" w:bidi="ar-SA"/>
    </w:rPr>
  </w:style>
  <w:style w:type="paragraph" w:customStyle="1" w:styleId="8">
    <w:name w:val="2"/>
    <w:qFormat/>
    <w:uiPriority w:val="0"/>
    <w:pPr>
      <w:spacing w:before="120" w:after="120" w:line="288" w:lineRule="auto"/>
    </w:pPr>
    <w:rPr>
      <w:rFonts w:ascii="Arial" w:hAnsi="Arial" w:eastAsia="等线" w:cs="Arial"/>
      <w:sz w:val="2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1184</Words>
  <Characters>1200</Characters>
  <Lines>8</Lines>
  <Paragraphs>2</Paragraphs>
  <TotalTime>4</TotalTime>
  <ScaleCrop>false</ScaleCrop>
  <LinksUpToDate>false</LinksUpToDate>
  <CharactersWithSpaces>1201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2025-10-28T03:32:00Z</dcterms:created>
  <dc:creator>chenyw</dc:creator>
  <cp:lastModifiedBy>vera</cp:lastModifiedBy>
  <cp:lastPrinted>2025-11-13T07:00:00Z</cp:lastPrinted>
  <dcterms:modified xsi:type="dcterms:W3CDTF">2026-04-15T07:51:21Z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eyJoZGlkIjoiYmI1OTVkNDI2MzRiOGY3OTlkNzQ5NTg2MzA3NDRjZWUiLCJ1c2VySWQiOiI2OTU2NTY2NTIifQ==</vt:lpwstr>
  </property>
  <property fmtid="{D5CDD505-2E9C-101B-9397-08002B2CF9AE}" pid="3" name="KSOProductBuildVer">
    <vt:lpwstr>2052-12.1.0.25225</vt:lpwstr>
  </property>
  <property fmtid="{D5CDD505-2E9C-101B-9397-08002B2CF9AE}" pid="4" name="ICV">
    <vt:lpwstr>DF4A1A9A9FE14926AB4943C077445BC7_13</vt:lpwstr>
  </property>
</Properties>
</file>